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55AB1" w14:textId="46130DC2" w:rsidR="0030524C" w:rsidRPr="00340A17" w:rsidRDefault="00823156" w:rsidP="002470A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ro-RO"/>
        </w:rPr>
      </w:pPr>
      <w:r w:rsidRPr="00340A17">
        <w:rPr>
          <w:rFonts w:ascii="Arial" w:hAnsi="Arial" w:cs="Arial"/>
          <w:b/>
          <w:bCs/>
          <w:sz w:val="24"/>
          <w:szCs w:val="24"/>
          <w:u w:val="single"/>
          <w:lang w:val="ro-RO"/>
        </w:rPr>
        <w:t>LISTA DE LUCRĂRI</w:t>
      </w:r>
    </w:p>
    <w:p w14:paraId="70EDDE46" w14:textId="77777777" w:rsidR="00823156" w:rsidRPr="00340A17" w:rsidRDefault="00823156" w:rsidP="002470AC">
      <w:p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5777BFF2" w14:textId="064422FC" w:rsidR="00823156" w:rsidRPr="00340A17" w:rsidRDefault="00823156" w:rsidP="002470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O.;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Pescaru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M.; Sima, A.; Ionita, I.; Tudor, R.; Borsi, E.; 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Samfireag, M.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 C. Evaluation of the Relapse Risk and Survival Rate in Patients with Hodgkin Lymphoma: A Monocentric Experience. </w:t>
      </w:r>
      <w:proofErr w:type="spellStart"/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Medicina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2021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57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1026. </w:t>
      </w:r>
      <w:hyperlink r:id="rId5" w:history="1">
        <w:r w:rsidRPr="00340A17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https://doi.org/10.3390/medicina57101026</w:t>
        </w:r>
      </w:hyperlink>
    </w:p>
    <w:p w14:paraId="64BFAABB" w14:textId="122F1558" w:rsidR="00823156" w:rsidRPr="00340A17" w:rsidRDefault="00823156" w:rsidP="002470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Borsi, E.; Serban, C.L.;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O.; Putnoky, S.; 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Samfireag, M.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; Tudor, R.; Ionita, I.; Ionita, H. High Carbohydrate Diet Is Associated with Severe Clinical Indicators, but Not with Nutrition Knowledge Score in Patients with Multiple Myeloma.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Int. J. Environ. Res. Public Health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2021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18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5444. </w:t>
      </w:r>
      <w:hyperlink r:id="rId6" w:history="1">
        <w:r w:rsidRPr="00340A17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https://doi.org/10.3390/ijerph18105444</w:t>
        </w:r>
      </w:hyperlink>
    </w:p>
    <w:p w14:paraId="47A2C1B9" w14:textId="78838586" w:rsidR="00823156" w:rsidRPr="00340A17" w:rsidRDefault="00823156" w:rsidP="002470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C.; Borsi, E.;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O.; 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Samfireag, M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Costachescu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D.;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Cerbu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B.; Bratosin, F.;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Secosan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Negrean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 R.A. Assessing Pretransplant and Posttransplant Therapy Response in Multiple Myeloma Patients.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Curr. Oncol.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2022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29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8501-8512. </w:t>
      </w:r>
      <w:hyperlink r:id="rId7" w:history="1">
        <w:r w:rsidRPr="00340A17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https://doi.org/10.3390/curroncol29110670</w:t>
        </w:r>
      </w:hyperlink>
    </w:p>
    <w:p w14:paraId="5435D916" w14:textId="179421CA" w:rsidR="00823156" w:rsidRPr="00340A17" w:rsidRDefault="007D04D5" w:rsidP="002470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Samfireag, M.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O.; Tudor, R.;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Hoinoiu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 T.; Anghel, A. Approach to Thrombophilia in Pregnancy—A Narrative Review. </w:t>
      </w:r>
      <w:proofErr w:type="spellStart"/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Medicina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2022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58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692. </w:t>
      </w:r>
      <w:hyperlink r:id="rId8" w:history="1">
        <w:r w:rsidRPr="00340A17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https://doi.org/10.3390/medicina58050692</w:t>
        </w:r>
      </w:hyperlink>
    </w:p>
    <w:p w14:paraId="2E8A0D44" w14:textId="1A099623" w:rsidR="007D04D5" w:rsidRPr="00340A17" w:rsidRDefault="007D04D5" w:rsidP="002470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C.; Borsi, E.;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O.; Ionita, I.; 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Samfireag, M.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Costachescu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D.;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Secosan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C.; Lazar, S.;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Ristescu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 A.I. A Systematic Review Assessing the Impact of Vitamin D Levels on Adult Patients with Lymphoid Malignancies.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Curr. Oncol.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2023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30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4351-4364. </w:t>
      </w:r>
      <w:hyperlink r:id="rId9" w:history="1">
        <w:r w:rsidRPr="00340A17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https://doi.org/10.3390/curroncol30040331</w:t>
        </w:r>
      </w:hyperlink>
    </w:p>
    <w:p w14:paraId="39F6FB0B" w14:textId="1AAAE28E" w:rsidR="007D04D5" w:rsidRPr="00340A17" w:rsidRDefault="007D04D5" w:rsidP="002470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Samfireag, M.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O.;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Moleriu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L.-C.; Petre, I.; Borsi, E.;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Hoinoiu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T.;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Preda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M.;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Popoiu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 T.-A.; Anghel, A. Assessment of the Particularities of Thrombophilia in the Management of Pregnant Women in the Western Part of Romania. </w:t>
      </w:r>
      <w:proofErr w:type="spellStart"/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Medicina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2023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59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851. </w:t>
      </w:r>
      <w:hyperlink r:id="rId10" w:history="1">
        <w:r w:rsidRPr="00340A17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https://doi.org/10.3390/medicina59050851</w:t>
        </w:r>
      </w:hyperlink>
    </w:p>
    <w:p w14:paraId="29C21208" w14:textId="38CA4535" w:rsidR="007D04D5" w:rsidRPr="00340A17" w:rsidRDefault="00873161" w:rsidP="002470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pt-BR"/>
        </w:rPr>
        <w:t>Samfireag, M.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  <w:lang w:val="pt-BR"/>
        </w:rPr>
        <w:t xml:space="preserve">; Potre, O.; Potre, C.; Moleriu, R.-D.; Petre, I.; Borsi, E.; Hoinoiu, T.; Petre, I.; Popoiu, T.-A.; Iurciuc, S.; et al. 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Maternal and Newborn Characteristics—A Comparison between Healthy and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Thrombophilic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Pregnancy.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Life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2023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13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2082. </w:t>
      </w:r>
      <w:hyperlink r:id="rId11" w:history="1">
        <w:r w:rsidRPr="00340A17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https://doi.org/10.3390/life13102082</w:t>
        </w:r>
      </w:hyperlink>
    </w:p>
    <w:p w14:paraId="04ABEA2E" w14:textId="43A3C70C" w:rsidR="00873161" w:rsidRPr="00340A17" w:rsidRDefault="00340A17" w:rsidP="002470A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Borsi, E.;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O.; Ionita, I.; 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Samfireag, M.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Secosan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Potre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 C. Risk Factors of Thrombophilia-Related Mutations for Early and Late Pregnancy Loss. </w:t>
      </w:r>
      <w:proofErr w:type="spellStart"/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Medicina</w:t>
      </w:r>
      <w:proofErr w:type="spellEnd"/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40A1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2024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 </w:t>
      </w:r>
      <w:r w:rsidRPr="00340A17">
        <w:rPr>
          <w:rStyle w:val="Emphasis"/>
          <w:rFonts w:ascii="Arial" w:hAnsi="Arial" w:cs="Arial"/>
          <w:color w:val="222222"/>
          <w:sz w:val="24"/>
          <w:szCs w:val="24"/>
          <w:shd w:val="clear" w:color="auto" w:fill="FFFFFF"/>
        </w:rPr>
        <w:t>60</w:t>
      </w:r>
      <w:r w:rsidRPr="00340A17">
        <w:rPr>
          <w:rFonts w:ascii="Arial" w:hAnsi="Arial" w:cs="Arial"/>
          <w:color w:val="222222"/>
          <w:sz w:val="24"/>
          <w:szCs w:val="24"/>
          <w:shd w:val="clear" w:color="auto" w:fill="FFFFFF"/>
        </w:rPr>
        <w:t>, 521. https://doi.org/10.3390/medicina60040521</w:t>
      </w:r>
    </w:p>
    <w:sectPr w:rsidR="00873161" w:rsidRPr="00340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B5082A"/>
    <w:multiLevelType w:val="hybridMultilevel"/>
    <w:tmpl w:val="071AB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16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3A"/>
    <w:rsid w:val="002470AC"/>
    <w:rsid w:val="0030524C"/>
    <w:rsid w:val="00340A17"/>
    <w:rsid w:val="00677E2D"/>
    <w:rsid w:val="0071543A"/>
    <w:rsid w:val="007D04D5"/>
    <w:rsid w:val="00823156"/>
    <w:rsid w:val="00873161"/>
    <w:rsid w:val="00F25199"/>
    <w:rsid w:val="00F3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255DB"/>
  <w15:chartTrackingRefBased/>
  <w15:docId w15:val="{7FA12425-A435-4BF0-B01B-E05A0058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54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54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54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54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54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54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54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54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54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54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54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54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543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543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4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4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4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4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54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5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54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54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54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54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54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543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54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543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543A"/>
    <w:rPr>
      <w:b/>
      <w:bCs/>
      <w:smallCaps/>
      <w:color w:val="2F5496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823156"/>
    <w:rPr>
      <w:i/>
      <w:iCs/>
    </w:rPr>
  </w:style>
  <w:style w:type="character" w:styleId="Hyperlink">
    <w:name w:val="Hyperlink"/>
    <w:basedOn w:val="DefaultParagraphFont"/>
    <w:uiPriority w:val="99"/>
    <w:unhideWhenUsed/>
    <w:rsid w:val="008231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5805069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curroncol291106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ijerph18105444" TargetMode="External"/><Relationship Id="rId11" Type="http://schemas.openxmlformats.org/officeDocument/2006/relationships/hyperlink" Target="https://doi.org/10.3390/life13102082" TargetMode="External"/><Relationship Id="rId5" Type="http://schemas.openxmlformats.org/officeDocument/2006/relationships/hyperlink" Target="https://doi.org/10.3390/medicina57101026" TargetMode="External"/><Relationship Id="rId10" Type="http://schemas.openxmlformats.org/officeDocument/2006/relationships/hyperlink" Target="https://doi.org/10.3390/medicina590508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curroncol300403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Miruna</dc:creator>
  <cp:keywords/>
  <dc:description/>
  <cp:lastModifiedBy>Miruna</cp:lastModifiedBy>
  <cp:revision>8</cp:revision>
  <dcterms:created xsi:type="dcterms:W3CDTF">2024-06-01T10:34:00Z</dcterms:created>
  <dcterms:modified xsi:type="dcterms:W3CDTF">2024-06-01T10:43:00Z</dcterms:modified>
</cp:coreProperties>
</file>