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58AC" w:rsidRPr="00E362A4" w:rsidRDefault="00E362A4" w:rsidP="002858AC">
      <w:pPr>
        <w:jc w:val="center"/>
        <w:rPr>
          <w:rFonts w:ascii="Times New Roman" w:hAnsi="Times New Roman"/>
          <w:b/>
          <w:bCs/>
          <w:sz w:val="32"/>
          <w:szCs w:val="32"/>
        </w:rPr>
      </w:pPr>
      <w:r w:rsidRPr="00E362A4">
        <w:rPr>
          <w:rFonts w:ascii="Times New Roman" w:hAnsi="Times New Roman"/>
          <w:b/>
          <w:bCs/>
          <w:sz w:val="32"/>
          <w:szCs w:val="32"/>
        </w:rPr>
        <w:t xml:space="preserve">LISTA COMPLETĂ A </w:t>
      </w:r>
      <w:r w:rsidR="001C63E7" w:rsidRPr="00E362A4">
        <w:rPr>
          <w:rFonts w:ascii="Times New Roman" w:hAnsi="Times New Roman"/>
          <w:b/>
          <w:bCs/>
          <w:sz w:val="32"/>
          <w:szCs w:val="32"/>
        </w:rPr>
        <w:t>PUBLICAȚII</w:t>
      </w:r>
      <w:r w:rsidRPr="00E362A4">
        <w:rPr>
          <w:rFonts w:ascii="Times New Roman" w:hAnsi="Times New Roman"/>
          <w:b/>
          <w:bCs/>
          <w:sz w:val="32"/>
          <w:szCs w:val="32"/>
        </w:rPr>
        <w:t>LOR</w:t>
      </w:r>
    </w:p>
    <w:p w:rsidR="001C63E7" w:rsidRPr="001C63E7" w:rsidRDefault="001C63E7" w:rsidP="001C63E7">
      <w:pPr>
        <w:rPr>
          <w:rFonts w:ascii="Times New Roman" w:hAnsi="Times New Roman"/>
          <w:sz w:val="28"/>
          <w:szCs w:val="28"/>
        </w:rPr>
      </w:pPr>
    </w:p>
    <w:p w:rsidR="00513E7E"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Magiar O, Vulpie S, Musuroi C, Marincu I, Murariu A,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Musuroi SI, Muntean D, Licker M. Listeria Monocytogenes Meningitis in an Immunocompetent Patient. Infect Drug Resist. 2022 Mar 10;15:989-994. doi: 10.2147/IDR.S351132. PMID: 35299851; PMCID: PMC8921837.</w:t>
      </w:r>
      <w:r w:rsidR="00812437">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bookmarkStart w:id="0" w:name="_Hlk168769524"/>
      <w:r w:rsidRPr="001C63E7">
        <w:rPr>
          <w:rFonts w:ascii="Times New Roman" w:hAnsi="Times New Roman"/>
          <w:color w:val="212121"/>
          <w:sz w:val="24"/>
          <w:szCs w:val="24"/>
          <w:shd w:val="clear" w:color="auto" w:fill="FFFFFF"/>
        </w:rPr>
        <w:t xml:space="preserve">Budea CM, Bratosin F, Bogdan I, Bota AV,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Tirnea L, Stoica CN, Csep AN, Feciche B, Pescariu SA, Popa M, Mavrea A, Bumbu BA, Bandi SSS, Marincu I. Clinical Presentation and Risk Factors of Infective Endocarditis in the Elderly: A Systematic Review. J Pers Med. 2023 Feb 7;13(2):296. doi: 10.3390/jpm13020296. PMID: 36836530; PMCID: PMC9966560.</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Marincu I, Bratosin F, Vidican I, Bostanaru AC, Frent S, Cerbu B,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Tirnea L, Timircan M. Predictive Value of Comorbid Conditions for COVID-19 Mortality. J Clin Med. 2021 Jun 16;10(12):2652. doi: 10.3390/jcm10122652. PMID: 34208640; PMCID: PMC8233968.</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Tirnea L, Bratosin F, Vidican I, Cerbu B,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Timircan M, Margan MM, Marincu I. The Efficacy of Convalescent Plasma Use in Critically Ill COVID-19 Patients. Medicina (Kaunas). 2021 Mar 11;57(3):257. doi: 10.3390/medicina57030257. PMID: 33799535; PMCID: PMC7998120.</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Timircan M, Bratosin F, Vidican I, Suciu O,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Bota AV, Mitrescu S, Marincu I. Coping Strategies and Health-Related Quality of Life in Pregnant Women with SARS-CoV-2 Infection. Medicina (Kaunas). 2021 Oct 16;57(10):1113. doi: 10.3390/medicina57101113. PMID: 34684150; PMCID: PMC8539137.</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Bogdan I, Citu C, Bratosin F, Malita D, Romosan I, Gurban CV, Bota AV,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Bratu ML, Pilut CN, Marincu I. The Impact of Multiplex PCR in Diagnosing and Managing Bacterial Infections in COVID-19 Patients Self-Medicated with Antibiotics. Antibiotics (Basel). 2022 Mar 24;11(4):437. doi: 10.3390/antibiotics11040437. PMID: 35453189; PMCID: PMC9025156</w:t>
      </w:r>
      <w:bookmarkEnd w:id="0"/>
      <w:r w:rsidRPr="001C63E7">
        <w:rPr>
          <w:rFonts w:ascii="Times New Roman" w:hAnsi="Times New Roman"/>
          <w:color w:val="212121"/>
          <w:sz w:val="24"/>
          <w:szCs w:val="24"/>
          <w:shd w:val="clear" w:color="auto" w:fill="FFFFFF"/>
        </w:rPr>
        <w:t>.</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0841FB" w:rsidRPr="001C63E7" w:rsidRDefault="000841FB"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Marincu I, Bratosin F, Vidican I, Cerbu B, Suciu O,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Tirnea L, Timircan M. Foodborne Botulism in Western Romania: Ten Years' Experience at a Tertiary Infectious Disease Hospital. Healthcare (Basel). 2021 Sep 2;9(9):1149. doi: 10.3390/healthcare9091149. PMID: 34574922; PMCID: PMC8469094.</w:t>
      </w:r>
      <w:r w:rsidR="00535FAE">
        <w:rPr>
          <w:rFonts w:ascii="Times New Roman" w:hAnsi="Times New Roman"/>
          <w:color w:val="212121"/>
          <w:sz w:val="24"/>
          <w:szCs w:val="24"/>
          <w:shd w:val="clear" w:color="auto" w:fill="FFFFFF"/>
        </w:rPr>
        <w:t xml:space="preserve"> </w:t>
      </w:r>
    </w:p>
    <w:p w:rsidR="000841FB" w:rsidRPr="001C63E7" w:rsidRDefault="000841FB" w:rsidP="000841FB">
      <w:pPr>
        <w:rPr>
          <w:rFonts w:ascii="Times New Roman" w:hAnsi="Times New Roman"/>
          <w:color w:val="212121"/>
          <w:sz w:val="24"/>
          <w:szCs w:val="24"/>
          <w:shd w:val="clear" w:color="auto" w:fill="FFFFFF"/>
        </w:rPr>
      </w:pPr>
    </w:p>
    <w:p w:rsidR="001C63E7" w:rsidRPr="00535FAE" w:rsidRDefault="000841FB" w:rsidP="000841FB">
      <w:pPr>
        <w:pStyle w:val="ListParagraph"/>
        <w:numPr>
          <w:ilvl w:val="0"/>
          <w:numId w:val="2"/>
        </w:numPr>
        <w:rPr>
          <w:rFonts w:ascii="Times New Roman" w:hAnsi="Times New Roman"/>
          <w:color w:val="212121"/>
          <w:sz w:val="24"/>
          <w:szCs w:val="24"/>
          <w:shd w:val="clear" w:color="auto" w:fill="FFFFFF"/>
        </w:rPr>
      </w:pPr>
      <w:bookmarkStart w:id="1" w:name="_Hlk166787560"/>
      <w:bookmarkStart w:id="2" w:name="_Hlk168769382"/>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Feciche B, Gluhovschi A, Bratosin F, Bogdan I, Bota AV, Grigoras ML, Gurban CV, Cerbu B, Toma AO, Gurumurthy S, Wulandari PH, Marincu I</w:t>
      </w:r>
      <w:bookmarkEnd w:id="1"/>
      <w:r w:rsidRPr="001C63E7">
        <w:rPr>
          <w:rFonts w:ascii="Times New Roman" w:hAnsi="Times New Roman"/>
          <w:color w:val="212121"/>
          <w:sz w:val="24"/>
          <w:szCs w:val="24"/>
          <w:shd w:val="clear" w:color="auto" w:fill="FFFFFF"/>
        </w:rPr>
        <w:t>. Biological Profile and Clinical Features as Determinants for Prolonged Hospitalization in Adult Patients with Measles: A Monocentric Study in Western Romania. Pathogens. 2022 Sep 7;11(9):1018. doi: 10.3390/pathogens11091018. PMID: 36145449; PMCID: PMC9505879.</w:t>
      </w:r>
      <w:r w:rsidR="00535FAE">
        <w:rPr>
          <w:rFonts w:ascii="Times New Roman" w:hAnsi="Times New Roman"/>
          <w:color w:val="212121"/>
          <w:sz w:val="24"/>
          <w:szCs w:val="24"/>
          <w:shd w:val="clear" w:color="auto" w:fill="FFFFFF"/>
        </w:rPr>
        <w:t xml:space="preserve"> </w:t>
      </w:r>
    </w:p>
    <w:p w:rsidR="001C63E7" w:rsidRPr="001C63E7" w:rsidRDefault="001C63E7"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b/>
          <w:bCs/>
          <w:color w:val="212121"/>
          <w:sz w:val="24"/>
          <w:szCs w:val="24"/>
          <w:shd w:val="clear" w:color="auto" w:fill="FFFFFF"/>
        </w:rPr>
        <w:lastRenderedPageBreak/>
        <w:t>Turaiche M</w:t>
      </w:r>
      <w:r w:rsidRPr="001C63E7">
        <w:rPr>
          <w:rFonts w:ascii="Times New Roman" w:hAnsi="Times New Roman"/>
          <w:color w:val="212121"/>
          <w:sz w:val="24"/>
          <w:szCs w:val="24"/>
          <w:shd w:val="clear" w:color="auto" w:fill="FFFFFF"/>
        </w:rPr>
        <w:t>, Grigoras ML, Bratosin F, Bogdan I, Bota AV, Cerbu B, Gurban CV, Wulandari PH, Gurumurthy S, Hemaswini K, Citu C, Marincu I. Disease Progression, Clinical Features, and Risk Factors for Pneumonia in Unvaccinated Children and Adolescents with Measles: A Re-Emerging Disease in Romania. Int J Environ Res Public Health. 2022 Oct 13;19(20):13165. doi: 10.3390/ijerph192013165. PMID: 36293745; PMCID: PMC9603068.</w:t>
      </w:r>
      <w:r w:rsidR="001D7E78">
        <w:rPr>
          <w:rFonts w:ascii="Times New Roman" w:hAnsi="Times New Roman"/>
          <w:color w:val="212121"/>
          <w:sz w:val="24"/>
          <w:szCs w:val="24"/>
          <w:shd w:val="clear" w:color="auto" w:fill="FFFFFF"/>
        </w:rPr>
        <w:t xml:space="preserve"> </w:t>
      </w:r>
    </w:p>
    <w:p w:rsidR="001C63E7" w:rsidRPr="001C63E7" w:rsidRDefault="001C63E7" w:rsidP="000841FB">
      <w:pPr>
        <w:rPr>
          <w:rFonts w:ascii="Times New Roman" w:hAnsi="Times New Roman"/>
          <w:color w:val="212121"/>
          <w:sz w:val="24"/>
          <w:szCs w:val="24"/>
          <w:shd w:val="clear" w:color="auto" w:fill="FFFFFF"/>
        </w:rPr>
      </w:pPr>
    </w:p>
    <w:p w:rsidR="001C63E7" w:rsidRPr="001C63E7" w:rsidRDefault="001C63E7" w:rsidP="001C63E7">
      <w:pPr>
        <w:pStyle w:val="ListParagraph"/>
        <w:numPr>
          <w:ilvl w:val="0"/>
          <w:numId w:val="2"/>
        </w:numPr>
        <w:rPr>
          <w:rFonts w:ascii="Times New Roman" w:hAnsi="Times New Roman"/>
          <w:color w:val="212121"/>
          <w:sz w:val="24"/>
          <w:szCs w:val="24"/>
          <w:shd w:val="clear" w:color="auto" w:fill="FFFFFF"/>
        </w:rPr>
      </w:pPr>
      <w:bookmarkStart w:id="3" w:name="_Hlk168769436"/>
      <w:bookmarkEnd w:id="2"/>
      <w:r w:rsidRPr="001C63E7">
        <w:rPr>
          <w:rFonts w:ascii="Times New Roman" w:hAnsi="Times New Roman"/>
          <w:color w:val="212121"/>
          <w:sz w:val="24"/>
          <w:szCs w:val="24"/>
          <w:shd w:val="clear" w:color="auto" w:fill="FFFFFF"/>
        </w:rPr>
        <w:t xml:space="preserve">Cerbu B, Pantea S, Bratosin F, Vidican I,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xml:space="preserve">, Frent S, Borsi E, Marincu I. Liver Impairment and Hematological Changes in Patients with Chronic Hepatitis C and COVID-19: A Retrospective Study after One Year of Pandemic. Medicina (Kaunas). 2021 Jun 10;57(6):597. doi: 10.3390/medicina57060597. PMID: 34200570; PMCID: PMC8226804. </w:t>
      </w:r>
    </w:p>
    <w:p w:rsidR="001C63E7" w:rsidRPr="009121CD" w:rsidRDefault="001C63E7" w:rsidP="000841FB">
      <w:pPr>
        <w:rPr>
          <w:rFonts w:ascii="Times New Roman" w:hAnsi="Times New Roman"/>
          <w:color w:val="000000" w:themeColor="text1"/>
          <w:sz w:val="24"/>
          <w:szCs w:val="24"/>
          <w:shd w:val="clear" w:color="auto" w:fill="FFFFFF"/>
        </w:rPr>
      </w:pPr>
    </w:p>
    <w:p w:rsidR="001C63E7" w:rsidRPr="001C63E7" w:rsidRDefault="001C63E7" w:rsidP="001C63E7">
      <w:pPr>
        <w:pStyle w:val="ListParagraph"/>
        <w:numPr>
          <w:ilvl w:val="0"/>
          <w:numId w:val="2"/>
        </w:numPr>
        <w:rPr>
          <w:rFonts w:ascii="Times New Roman" w:hAnsi="Times New Roman"/>
          <w:color w:val="212121"/>
          <w:sz w:val="24"/>
          <w:szCs w:val="24"/>
          <w:shd w:val="clear" w:color="auto" w:fill="FFFFFF"/>
        </w:rPr>
      </w:pPr>
      <w:r w:rsidRPr="001C63E7">
        <w:rPr>
          <w:rFonts w:ascii="Times New Roman" w:hAnsi="Times New Roman"/>
          <w:color w:val="212121"/>
          <w:sz w:val="24"/>
          <w:szCs w:val="24"/>
          <w:shd w:val="clear" w:color="auto" w:fill="FFFFFF"/>
        </w:rPr>
        <w:t xml:space="preserve">Marincu I, Bratosin F, Vidican I, Cerbu B,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Tirnea L, Timircan M. Predictive Factors for the First Recurrence of </w:t>
      </w:r>
      <w:r w:rsidRPr="001C63E7">
        <w:rPr>
          <w:rFonts w:ascii="Times New Roman" w:hAnsi="Times New Roman"/>
          <w:i/>
          <w:iCs/>
          <w:color w:val="212121"/>
          <w:sz w:val="24"/>
          <w:szCs w:val="24"/>
          <w:shd w:val="clear" w:color="auto" w:fill="FFFFFF"/>
        </w:rPr>
        <w:t>Clostridioides difficile</w:t>
      </w:r>
      <w:r w:rsidRPr="001C63E7">
        <w:rPr>
          <w:rFonts w:ascii="Times New Roman" w:hAnsi="Times New Roman"/>
          <w:color w:val="212121"/>
          <w:sz w:val="24"/>
          <w:szCs w:val="24"/>
          <w:shd w:val="clear" w:color="auto" w:fill="FFFFFF"/>
        </w:rPr>
        <w:t> Infection in the Elderly from Western Romania. Medicina (Kaunas). 2020 Aug 29;56(9):439. doi: 10.3390/medicina56090439. PMID: 32872476; PMCID: PMC7557961.</w:t>
      </w:r>
      <w:r w:rsidR="001D7E78">
        <w:rPr>
          <w:rFonts w:ascii="Times New Roman" w:hAnsi="Times New Roman"/>
          <w:color w:val="212121"/>
          <w:sz w:val="24"/>
          <w:szCs w:val="24"/>
          <w:shd w:val="clear" w:color="auto" w:fill="FFFFFF"/>
        </w:rPr>
        <w:t xml:space="preserve"> </w:t>
      </w:r>
    </w:p>
    <w:p w:rsidR="001C63E7" w:rsidRPr="001C63E7" w:rsidRDefault="001C63E7" w:rsidP="000841FB">
      <w:pPr>
        <w:rPr>
          <w:rFonts w:ascii="Times New Roman" w:hAnsi="Times New Roman"/>
          <w:color w:val="212121"/>
          <w:sz w:val="24"/>
          <w:szCs w:val="24"/>
          <w:shd w:val="clear" w:color="auto" w:fill="FFFFFF"/>
        </w:rPr>
      </w:pPr>
    </w:p>
    <w:p w:rsidR="00F34CA9" w:rsidRPr="00F34CA9" w:rsidRDefault="001C63E7" w:rsidP="00F34CA9">
      <w:pPr>
        <w:pStyle w:val="ListParagraph"/>
        <w:numPr>
          <w:ilvl w:val="0"/>
          <w:numId w:val="2"/>
        </w:numPr>
        <w:rPr>
          <w:rFonts w:ascii="Times New Roman" w:hAnsi="Times New Roman"/>
          <w:sz w:val="24"/>
          <w:szCs w:val="24"/>
        </w:rPr>
      </w:pPr>
      <w:r w:rsidRPr="001C63E7">
        <w:rPr>
          <w:rFonts w:ascii="Times New Roman" w:hAnsi="Times New Roman"/>
          <w:color w:val="212121"/>
          <w:sz w:val="24"/>
          <w:szCs w:val="24"/>
          <w:shd w:val="clear" w:color="auto" w:fill="FFFFFF"/>
        </w:rPr>
        <w:t xml:space="preserve">Marincu I, Bratosin F, Curescu M, Suciu O, </w:t>
      </w:r>
      <w:r w:rsidRPr="001C63E7">
        <w:rPr>
          <w:rFonts w:ascii="Times New Roman" w:hAnsi="Times New Roman"/>
          <w:b/>
          <w:bCs/>
          <w:color w:val="212121"/>
          <w:sz w:val="24"/>
          <w:szCs w:val="24"/>
          <w:shd w:val="clear" w:color="auto" w:fill="FFFFFF"/>
        </w:rPr>
        <w:t>Turaiche M</w:t>
      </w:r>
      <w:r w:rsidRPr="001C63E7">
        <w:rPr>
          <w:rFonts w:ascii="Times New Roman" w:hAnsi="Times New Roman"/>
          <w:color w:val="212121"/>
          <w:sz w:val="24"/>
          <w:szCs w:val="24"/>
          <w:shd w:val="clear" w:color="auto" w:fill="FFFFFF"/>
        </w:rPr>
        <w:t>, Cerbu B, Vidican I. Direct-Acting Antiviral Use for Genotype 1b Hepatitis C Patients with Associated Hematological Disorders from Romania. Medicina (Kaunas). 2021 Sep 18;57(9):986. doi: 10.3390/medicina57090986</w:t>
      </w:r>
      <w:bookmarkEnd w:id="3"/>
      <w:r w:rsidRPr="001C63E7">
        <w:rPr>
          <w:rFonts w:ascii="Times New Roman" w:hAnsi="Times New Roman"/>
          <w:color w:val="212121"/>
          <w:sz w:val="24"/>
          <w:szCs w:val="24"/>
          <w:shd w:val="clear" w:color="auto" w:fill="FFFFFF"/>
        </w:rPr>
        <w:t>. PMID: 34577909; PMCID: PMC8466776.</w:t>
      </w:r>
    </w:p>
    <w:p w:rsidR="00F34CA9" w:rsidRPr="00F34CA9" w:rsidRDefault="00F34CA9" w:rsidP="00F34CA9">
      <w:pPr>
        <w:pStyle w:val="ListParagraph"/>
        <w:rPr>
          <w:rFonts w:ascii="Times New Roman" w:hAnsi="Times New Roman"/>
          <w:color w:val="212121"/>
          <w:sz w:val="24"/>
          <w:szCs w:val="24"/>
          <w:shd w:val="clear" w:color="auto" w:fill="FFFFFF"/>
        </w:rPr>
      </w:pPr>
    </w:p>
    <w:p w:rsidR="00F34CA9" w:rsidRPr="00F34CA9" w:rsidRDefault="009121CD" w:rsidP="00F34CA9">
      <w:pPr>
        <w:pStyle w:val="ListParagraph"/>
        <w:numPr>
          <w:ilvl w:val="0"/>
          <w:numId w:val="2"/>
        </w:numPr>
        <w:rPr>
          <w:rStyle w:val="id-label"/>
          <w:rFonts w:ascii="Times New Roman" w:hAnsi="Times New Roman"/>
          <w:sz w:val="24"/>
          <w:szCs w:val="24"/>
        </w:rPr>
      </w:pPr>
      <w:r w:rsidRPr="00F34CA9">
        <w:rPr>
          <w:rFonts w:ascii="Times New Roman" w:hAnsi="Times New Roman"/>
          <w:color w:val="212121"/>
          <w:sz w:val="24"/>
          <w:szCs w:val="24"/>
          <w:shd w:val="clear" w:color="auto" w:fill="FFFFFF"/>
        </w:rPr>
        <w:t>Suba MI, Abu-Awwad SA, Rosca O, </w:t>
      </w:r>
      <w:r w:rsidRPr="00F34CA9">
        <w:rPr>
          <w:rFonts w:ascii="Times New Roman" w:hAnsi="Times New Roman"/>
          <w:b/>
          <w:bCs/>
          <w:color w:val="212121"/>
          <w:sz w:val="24"/>
          <w:szCs w:val="24"/>
          <w:shd w:val="clear" w:color="auto" w:fill="FFFFFF"/>
        </w:rPr>
        <w:t>Turaiche MM</w:t>
      </w:r>
      <w:r w:rsidRPr="00F34CA9">
        <w:rPr>
          <w:rFonts w:ascii="Times New Roman" w:hAnsi="Times New Roman"/>
          <w:color w:val="212121"/>
          <w:sz w:val="24"/>
          <w:szCs w:val="24"/>
          <w:shd w:val="clear" w:color="auto" w:fill="FFFFFF"/>
        </w:rPr>
        <w:t xml:space="preserve">, Hogea B, Abu-Awwad A, Nitu R, Lazureanu VE. </w:t>
      </w:r>
      <w:r w:rsidRPr="00F34CA9">
        <w:rPr>
          <w:rFonts w:ascii="Times New Roman" w:hAnsi="Times New Roman"/>
          <w:color w:val="212121"/>
          <w:sz w:val="24"/>
          <w:szCs w:val="24"/>
        </w:rPr>
        <w:t>Assessment of Gastrointestinal Adverse Effects during the First Six Months of "Biktarvy" Antiretroviral Therapy: Age-Related Patterns and Their Relation</w:t>
      </w:r>
      <w:r w:rsidRPr="00F34CA9">
        <w:rPr>
          <w:rFonts w:ascii="Times New Roman" w:hAnsi="Times New Roman"/>
          <w:color w:val="212121"/>
        </w:rPr>
        <w:t xml:space="preserve"> </w:t>
      </w:r>
      <w:r w:rsidRPr="00F34CA9">
        <w:rPr>
          <w:rFonts w:ascii="Times New Roman" w:hAnsi="Times New Roman"/>
          <w:color w:val="212121"/>
          <w:sz w:val="24"/>
          <w:szCs w:val="24"/>
        </w:rPr>
        <w:t xml:space="preserve">with Changes of 5 kg Weight Loss/Gain in the Initial Treatment Period. </w:t>
      </w:r>
      <w:r w:rsidRPr="00F34CA9">
        <w:rPr>
          <w:rFonts w:ascii="Times New Roman" w:hAnsi="Times New Roman"/>
          <w:color w:val="000000" w:themeColor="text1"/>
          <w:sz w:val="24"/>
          <w:szCs w:val="24"/>
          <w:lang w:val="en-US" w:eastAsia="en-US"/>
        </w:rPr>
        <w:t xml:space="preserve">Diseases 2023 Dec 21;12(1):3 </w:t>
      </w:r>
      <w:proofErr w:type="spellStart"/>
      <w:r w:rsidRPr="00F34CA9">
        <w:rPr>
          <w:rFonts w:ascii="Times New Roman" w:hAnsi="Times New Roman"/>
          <w:color w:val="000000" w:themeColor="text1"/>
          <w:sz w:val="24"/>
          <w:szCs w:val="24"/>
          <w:shd w:val="clear" w:color="auto" w:fill="FFFFFF"/>
          <w:lang w:val="en-US" w:eastAsia="en-US"/>
        </w:rPr>
        <w:t>doi</w:t>
      </w:r>
      <w:proofErr w:type="spellEnd"/>
      <w:r w:rsidRPr="00F34CA9">
        <w:rPr>
          <w:rFonts w:ascii="Times New Roman" w:hAnsi="Times New Roman"/>
          <w:color w:val="000000" w:themeColor="text1"/>
          <w:sz w:val="24"/>
          <w:szCs w:val="24"/>
          <w:shd w:val="clear" w:color="auto" w:fill="FFFFFF"/>
          <w:lang w:val="en-US" w:eastAsia="en-US"/>
        </w:rPr>
        <w:t>: 10.3390/diseases12010003</w:t>
      </w:r>
      <w:r w:rsidRPr="00F34CA9">
        <w:rPr>
          <w:rFonts w:ascii="Times New Roman" w:hAnsi="Times New Roman"/>
          <w:color w:val="5B616B"/>
          <w:sz w:val="24"/>
          <w:szCs w:val="24"/>
          <w:shd w:val="clear" w:color="auto" w:fill="FFFFFF"/>
          <w:lang w:val="en-US" w:eastAsia="en-US"/>
        </w:rPr>
        <w:t xml:space="preserve">. </w:t>
      </w:r>
      <w:r w:rsidRPr="00F34CA9">
        <w:rPr>
          <w:rStyle w:val="id-label"/>
          <w:rFonts w:ascii="Segoe UI" w:hAnsi="Segoe UI" w:cs="Segoe UI"/>
          <w:color w:val="212121"/>
        </w:rPr>
        <w:t>PMID: </w:t>
      </w:r>
      <w:r w:rsidRPr="00F34CA9">
        <w:rPr>
          <w:rStyle w:val="Strong"/>
          <w:rFonts w:ascii="Segoe UI" w:hAnsi="Segoe UI" w:cs="Segoe UI"/>
          <w:b w:val="0"/>
          <w:bCs w:val="0"/>
          <w:color w:val="212121"/>
        </w:rPr>
        <w:t>38275565</w:t>
      </w:r>
      <w:r w:rsidRPr="00F34CA9">
        <w:rPr>
          <w:rFonts w:ascii="Segoe UI" w:hAnsi="Segoe UI" w:cs="Segoe UI"/>
          <w:color w:val="212121"/>
          <w:lang w:val="en-US" w:eastAsia="en-US"/>
        </w:rPr>
        <w:t xml:space="preserve">; </w:t>
      </w:r>
      <w:r w:rsidRPr="00F34CA9">
        <w:rPr>
          <w:rStyle w:val="id-label"/>
          <w:rFonts w:ascii="Segoe UI" w:hAnsi="Segoe UI" w:cs="Segoe UI"/>
          <w:color w:val="212121"/>
        </w:rPr>
        <w:t>PMCID: PMC10814213</w:t>
      </w:r>
      <w:r w:rsidR="001D7E78">
        <w:rPr>
          <w:rStyle w:val="id-label"/>
          <w:rFonts w:ascii="Segoe UI" w:hAnsi="Segoe UI" w:cs="Segoe UI"/>
          <w:color w:val="212121"/>
        </w:rPr>
        <w:t>,</w:t>
      </w:r>
    </w:p>
    <w:p w:rsidR="00F34CA9" w:rsidRPr="00F34CA9" w:rsidRDefault="00F34CA9" w:rsidP="00F34CA9">
      <w:pPr>
        <w:pStyle w:val="ListParagraph"/>
        <w:rPr>
          <w:rFonts w:ascii="Times New Roman" w:hAnsi="Times New Roman"/>
          <w:color w:val="212121"/>
          <w:sz w:val="24"/>
          <w:szCs w:val="24"/>
          <w:shd w:val="clear" w:color="auto" w:fill="FFFFFF"/>
        </w:rPr>
      </w:pPr>
    </w:p>
    <w:p w:rsidR="00F34CA9" w:rsidRPr="00F34CA9" w:rsidRDefault="00F34CA9" w:rsidP="00F34CA9">
      <w:pPr>
        <w:pStyle w:val="ListParagraph"/>
        <w:numPr>
          <w:ilvl w:val="0"/>
          <w:numId w:val="2"/>
        </w:numPr>
        <w:rPr>
          <w:rFonts w:ascii="Times New Roman" w:hAnsi="Times New Roman"/>
          <w:sz w:val="24"/>
          <w:szCs w:val="24"/>
        </w:rPr>
      </w:pPr>
      <w:r w:rsidRPr="00F34CA9">
        <w:rPr>
          <w:rFonts w:ascii="Times New Roman" w:hAnsi="Times New Roman"/>
          <w:color w:val="212121"/>
          <w:sz w:val="24"/>
          <w:szCs w:val="24"/>
          <w:shd w:val="clear" w:color="auto" w:fill="FFFFFF"/>
        </w:rPr>
        <w:t>Abu-Awwad SA, Abu-Awwad A, Suba MI, Lazureanu VE, Bolovan AD, Rosca O, </w:t>
      </w:r>
      <w:r w:rsidRPr="00F34CA9">
        <w:rPr>
          <w:rFonts w:ascii="Times New Roman" w:hAnsi="Times New Roman"/>
          <w:b/>
          <w:bCs/>
          <w:color w:val="212121"/>
          <w:sz w:val="24"/>
          <w:szCs w:val="24"/>
          <w:shd w:val="clear" w:color="auto" w:fill="FFFFFF"/>
        </w:rPr>
        <w:t>Turaiche MM</w:t>
      </w:r>
      <w:r w:rsidRPr="00F34CA9">
        <w:rPr>
          <w:rFonts w:ascii="Times New Roman" w:hAnsi="Times New Roman"/>
          <w:color w:val="212121"/>
          <w:sz w:val="24"/>
          <w:szCs w:val="24"/>
          <w:shd w:val="clear" w:color="auto" w:fill="FFFFFF"/>
        </w:rPr>
        <w:t>, Benea AT, Hogea B.</w:t>
      </w:r>
      <w:r w:rsidRPr="00F34CA9">
        <w:rPr>
          <w:rFonts w:ascii="Times New Roman" w:hAnsi="Times New Roman"/>
          <w:color w:val="212121"/>
          <w:sz w:val="24"/>
          <w:szCs w:val="24"/>
        </w:rPr>
        <w:t xml:space="preserve"> Evaluating Hepatotoxicity: A Comparative Analysis of New Generation versus Historical Antiretroviral Agents. </w:t>
      </w:r>
      <w:r w:rsidRPr="00F34CA9">
        <w:rPr>
          <w:rFonts w:ascii="Times New Roman" w:hAnsi="Times New Roman"/>
          <w:color w:val="000000" w:themeColor="text1"/>
          <w:sz w:val="24"/>
          <w:szCs w:val="24"/>
          <w:lang w:val="en-US" w:eastAsia="en-US"/>
        </w:rPr>
        <w:t>Infect Dis Rep2024 Apr 24;16(3</w:t>
      </w:r>
      <w:proofErr w:type="gramStart"/>
      <w:r w:rsidRPr="00F34CA9">
        <w:rPr>
          <w:rFonts w:ascii="Times New Roman" w:hAnsi="Times New Roman"/>
          <w:color w:val="000000" w:themeColor="text1"/>
          <w:sz w:val="24"/>
          <w:szCs w:val="24"/>
          <w:lang w:val="en-US" w:eastAsia="en-US"/>
        </w:rPr>
        <w:t>):423-434.</w:t>
      </w:r>
      <w:r w:rsidRPr="00F34CA9">
        <w:rPr>
          <w:rFonts w:ascii="Times New Roman" w:hAnsi="Times New Roman"/>
          <w:color w:val="000000" w:themeColor="text1"/>
          <w:sz w:val="24"/>
          <w:szCs w:val="24"/>
          <w:shd w:val="clear" w:color="auto" w:fill="FFFFFF"/>
          <w:lang w:val="en-US" w:eastAsia="en-US"/>
        </w:rPr>
        <w:t>doi</w:t>
      </w:r>
      <w:proofErr w:type="gramEnd"/>
      <w:r w:rsidRPr="00F34CA9">
        <w:rPr>
          <w:rFonts w:ascii="Times New Roman" w:hAnsi="Times New Roman"/>
          <w:color w:val="000000" w:themeColor="text1"/>
          <w:sz w:val="24"/>
          <w:szCs w:val="24"/>
          <w:shd w:val="clear" w:color="auto" w:fill="FFFFFF"/>
          <w:lang w:val="en-US" w:eastAsia="en-US"/>
        </w:rPr>
        <w:t xml:space="preserve">:10.3390/idr16030031. </w:t>
      </w:r>
      <w:r w:rsidRPr="00F34CA9">
        <w:rPr>
          <w:rStyle w:val="id-label"/>
          <w:rFonts w:ascii="Times New Roman" w:hAnsi="Times New Roman"/>
          <w:color w:val="212121"/>
          <w:sz w:val="24"/>
          <w:szCs w:val="24"/>
        </w:rPr>
        <w:t>PMID: </w:t>
      </w:r>
      <w:r w:rsidRPr="00F34CA9">
        <w:rPr>
          <w:rStyle w:val="Strong"/>
          <w:rFonts w:ascii="Times New Roman" w:hAnsi="Times New Roman"/>
          <w:color w:val="212121"/>
          <w:sz w:val="24"/>
          <w:szCs w:val="24"/>
        </w:rPr>
        <w:t>38804441</w:t>
      </w:r>
      <w:r w:rsidRPr="00F34CA9">
        <w:rPr>
          <w:rFonts w:ascii="Times New Roman" w:hAnsi="Times New Roman"/>
          <w:color w:val="212121"/>
          <w:sz w:val="24"/>
          <w:szCs w:val="24"/>
          <w:lang w:val="en-US" w:eastAsia="en-US"/>
        </w:rPr>
        <w:t xml:space="preserve"> </w:t>
      </w:r>
      <w:r w:rsidRPr="00F34CA9">
        <w:rPr>
          <w:rStyle w:val="id-label"/>
          <w:rFonts w:ascii="Times New Roman" w:hAnsi="Times New Roman"/>
          <w:color w:val="212121"/>
          <w:sz w:val="24"/>
          <w:szCs w:val="24"/>
        </w:rPr>
        <w:t>PMCID: </w:t>
      </w:r>
      <w:hyperlink r:id="rId5" w:tgtFrame="_blank" w:history="1">
        <w:r w:rsidRPr="00F34CA9">
          <w:rPr>
            <w:rStyle w:val="Hyperlink"/>
            <w:rFonts w:ascii="Times New Roman" w:hAnsi="Times New Roman"/>
            <w:color w:val="000000" w:themeColor="text1"/>
            <w:sz w:val="24"/>
            <w:szCs w:val="24"/>
            <w:u w:val="none"/>
          </w:rPr>
          <w:t>PMC11130917</w:t>
        </w:r>
      </w:hyperlink>
      <w:r w:rsidR="001D7E78">
        <w:rPr>
          <w:rStyle w:val="Hyperlink"/>
          <w:rFonts w:ascii="Times New Roman" w:hAnsi="Times New Roman"/>
          <w:color w:val="000000" w:themeColor="text1"/>
          <w:sz w:val="24"/>
          <w:szCs w:val="24"/>
          <w:u w:val="none"/>
        </w:rPr>
        <w:t xml:space="preserve"> </w:t>
      </w:r>
    </w:p>
    <w:p w:rsidR="00F34CA9" w:rsidRPr="00F34CA9" w:rsidRDefault="00F34CA9" w:rsidP="00F34CA9">
      <w:pPr>
        <w:shd w:val="clear" w:color="auto" w:fill="FFFFFF"/>
        <w:suppressAutoHyphens w:val="0"/>
        <w:rPr>
          <w:rFonts w:ascii="Times New Roman" w:hAnsi="Times New Roman"/>
          <w:color w:val="000000" w:themeColor="text1"/>
          <w:sz w:val="24"/>
          <w:szCs w:val="24"/>
          <w:lang w:val="en-US" w:eastAsia="en-US"/>
        </w:rPr>
      </w:pPr>
    </w:p>
    <w:p w:rsidR="009121CD" w:rsidRPr="009121CD" w:rsidRDefault="009121CD" w:rsidP="009121CD">
      <w:pPr>
        <w:suppressAutoHyphens w:val="0"/>
        <w:rPr>
          <w:rFonts w:ascii="Times New Roman" w:hAnsi="Times New Roman"/>
          <w:lang w:val="en-US" w:eastAsia="en-US"/>
        </w:rPr>
      </w:pPr>
      <w:r>
        <w:rPr>
          <w:rFonts w:ascii="Times New Roman" w:hAnsi="Times New Roman"/>
          <w:color w:val="5B616B"/>
          <w:sz w:val="24"/>
          <w:szCs w:val="24"/>
          <w:lang w:val="en-US" w:eastAsia="en-US"/>
        </w:rPr>
        <w:tab/>
      </w:r>
      <w:r w:rsidRPr="009121CD">
        <w:rPr>
          <w:rFonts w:ascii="Times New Roman" w:hAnsi="Times New Roman"/>
          <w:color w:val="5B616B"/>
          <w:sz w:val="24"/>
          <w:szCs w:val="24"/>
          <w:lang w:val="en-US" w:eastAsia="en-US"/>
        </w:rPr>
        <w:t xml:space="preserve"> </w:t>
      </w:r>
    </w:p>
    <w:p w:rsidR="005F2B13" w:rsidRPr="005F2B13" w:rsidRDefault="005F2B13" w:rsidP="005F2B13">
      <w:pPr>
        <w:pStyle w:val="ListParagraph"/>
        <w:rPr>
          <w:rFonts w:ascii="Times New Roman" w:hAnsi="Times New Roman"/>
          <w:sz w:val="28"/>
          <w:szCs w:val="28"/>
        </w:rPr>
      </w:pPr>
    </w:p>
    <w:sectPr w:rsidR="005F2B13" w:rsidRPr="005F2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30806"/>
    <w:multiLevelType w:val="hybridMultilevel"/>
    <w:tmpl w:val="12606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495B6D"/>
    <w:multiLevelType w:val="multilevel"/>
    <w:tmpl w:val="59F0B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3378A5"/>
    <w:multiLevelType w:val="multilevel"/>
    <w:tmpl w:val="5924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38598F"/>
    <w:multiLevelType w:val="multilevel"/>
    <w:tmpl w:val="384A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0404B"/>
    <w:multiLevelType w:val="multilevel"/>
    <w:tmpl w:val="6616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6A640E"/>
    <w:multiLevelType w:val="hybridMultilevel"/>
    <w:tmpl w:val="A6106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947BA"/>
    <w:multiLevelType w:val="multilevel"/>
    <w:tmpl w:val="C1F6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8459722">
    <w:abstractNumId w:val="5"/>
  </w:num>
  <w:num w:numId="2" w16cid:durableId="1771272554">
    <w:abstractNumId w:val="0"/>
  </w:num>
  <w:num w:numId="3" w16cid:durableId="1144657258">
    <w:abstractNumId w:val="4"/>
  </w:num>
  <w:num w:numId="4" w16cid:durableId="1444492948">
    <w:abstractNumId w:val="2"/>
  </w:num>
  <w:num w:numId="5" w16cid:durableId="897084965">
    <w:abstractNumId w:val="3"/>
  </w:num>
  <w:num w:numId="6" w16cid:durableId="994457562">
    <w:abstractNumId w:val="6"/>
  </w:num>
  <w:num w:numId="7" w16cid:durableId="1888906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1FB"/>
    <w:rsid w:val="000841FB"/>
    <w:rsid w:val="000A53EE"/>
    <w:rsid w:val="000F693D"/>
    <w:rsid w:val="001C63E7"/>
    <w:rsid w:val="001D7E78"/>
    <w:rsid w:val="001F108B"/>
    <w:rsid w:val="002858AC"/>
    <w:rsid w:val="002E1626"/>
    <w:rsid w:val="003618B1"/>
    <w:rsid w:val="003F542A"/>
    <w:rsid w:val="004B1340"/>
    <w:rsid w:val="004B681E"/>
    <w:rsid w:val="00513E7E"/>
    <w:rsid w:val="00535BBA"/>
    <w:rsid w:val="00535FAE"/>
    <w:rsid w:val="005F2B13"/>
    <w:rsid w:val="007549EF"/>
    <w:rsid w:val="00812437"/>
    <w:rsid w:val="009121CD"/>
    <w:rsid w:val="00AD463E"/>
    <w:rsid w:val="00E362A4"/>
    <w:rsid w:val="00ED15BE"/>
    <w:rsid w:val="00F3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A9C94"/>
  <w15:chartTrackingRefBased/>
  <w15:docId w15:val="{18C99711-E5F4-4D6C-9858-E27E6A1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1FB"/>
    <w:pPr>
      <w:suppressAutoHyphens/>
      <w:spacing w:after="0" w:line="240" w:lineRule="auto"/>
    </w:pPr>
    <w:rPr>
      <w:rFonts w:ascii="Arial Narrow" w:eastAsia="Times New Roman" w:hAnsi="Arial Narrow" w:cs="Times New Roman"/>
      <w:kern w:val="0"/>
      <w:sz w:val="20"/>
      <w:szCs w:val="20"/>
      <w:lang w:val="ro-RO" w:eastAsia="ar-SA"/>
      <w14:ligatures w14:val="none"/>
    </w:rPr>
  </w:style>
  <w:style w:type="paragraph" w:styleId="Heading1">
    <w:name w:val="heading 1"/>
    <w:basedOn w:val="Normal"/>
    <w:link w:val="Heading1Char"/>
    <w:uiPriority w:val="9"/>
    <w:qFormat/>
    <w:rsid w:val="009121CD"/>
    <w:pPr>
      <w:suppressAutoHyphens w:val="0"/>
      <w:spacing w:before="100" w:beforeAutospacing="1" w:after="100" w:afterAutospacing="1"/>
      <w:outlineLvl w:val="0"/>
    </w:pPr>
    <w:rPr>
      <w:rFonts w:ascii="Times New Roman" w:hAnsi="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41FB"/>
    <w:rPr>
      <w:color w:val="0000FF"/>
      <w:u w:val="single"/>
    </w:rPr>
  </w:style>
  <w:style w:type="character" w:customStyle="1" w:styleId="docsum-authors">
    <w:name w:val="docsum-authors"/>
    <w:basedOn w:val="DefaultParagraphFont"/>
    <w:rsid w:val="000841FB"/>
  </w:style>
  <w:style w:type="character" w:customStyle="1" w:styleId="docsum-journal-citation">
    <w:name w:val="docsum-journal-citation"/>
    <w:basedOn w:val="DefaultParagraphFont"/>
    <w:rsid w:val="000841FB"/>
  </w:style>
  <w:style w:type="character" w:customStyle="1" w:styleId="citation-part">
    <w:name w:val="citation-part"/>
    <w:basedOn w:val="DefaultParagraphFont"/>
    <w:rsid w:val="000841FB"/>
  </w:style>
  <w:style w:type="character" w:customStyle="1" w:styleId="docsum-pmid">
    <w:name w:val="docsum-pmid"/>
    <w:basedOn w:val="DefaultParagraphFont"/>
    <w:rsid w:val="000841FB"/>
  </w:style>
  <w:style w:type="character" w:customStyle="1" w:styleId="free-resources">
    <w:name w:val="free-resources"/>
    <w:basedOn w:val="DefaultParagraphFont"/>
    <w:rsid w:val="000841FB"/>
  </w:style>
  <w:style w:type="paragraph" w:styleId="ListParagraph">
    <w:name w:val="List Paragraph"/>
    <w:basedOn w:val="Normal"/>
    <w:uiPriority w:val="34"/>
    <w:qFormat/>
    <w:rsid w:val="001C63E7"/>
    <w:pPr>
      <w:ind w:left="720"/>
      <w:contextualSpacing/>
    </w:pPr>
  </w:style>
  <w:style w:type="character" w:customStyle="1" w:styleId="authors-list-item">
    <w:name w:val="authors-list-item"/>
    <w:basedOn w:val="DefaultParagraphFont"/>
    <w:rsid w:val="009121CD"/>
  </w:style>
  <w:style w:type="character" w:customStyle="1" w:styleId="author-sup-separator">
    <w:name w:val="author-sup-separator"/>
    <w:basedOn w:val="DefaultParagraphFont"/>
    <w:rsid w:val="009121CD"/>
  </w:style>
  <w:style w:type="character" w:customStyle="1" w:styleId="comma">
    <w:name w:val="comma"/>
    <w:basedOn w:val="DefaultParagraphFont"/>
    <w:rsid w:val="009121CD"/>
  </w:style>
  <w:style w:type="character" w:customStyle="1" w:styleId="Heading1Char">
    <w:name w:val="Heading 1 Char"/>
    <w:basedOn w:val="DefaultParagraphFont"/>
    <w:link w:val="Heading1"/>
    <w:uiPriority w:val="9"/>
    <w:rsid w:val="009121CD"/>
    <w:rPr>
      <w:rFonts w:ascii="Times New Roman" w:eastAsia="Times New Roman" w:hAnsi="Times New Roman" w:cs="Times New Roman"/>
      <w:b/>
      <w:bCs/>
      <w:kern w:val="36"/>
      <w:sz w:val="48"/>
      <w:szCs w:val="48"/>
      <w14:ligatures w14:val="none"/>
    </w:rPr>
  </w:style>
  <w:style w:type="character" w:customStyle="1" w:styleId="period">
    <w:name w:val="period"/>
    <w:basedOn w:val="DefaultParagraphFont"/>
    <w:rsid w:val="009121CD"/>
  </w:style>
  <w:style w:type="character" w:customStyle="1" w:styleId="cit">
    <w:name w:val="cit"/>
    <w:basedOn w:val="DefaultParagraphFont"/>
    <w:rsid w:val="009121CD"/>
  </w:style>
  <w:style w:type="character" w:customStyle="1" w:styleId="citation-doi">
    <w:name w:val="citation-doi"/>
    <w:basedOn w:val="DefaultParagraphFont"/>
    <w:rsid w:val="009121CD"/>
  </w:style>
  <w:style w:type="character" w:customStyle="1" w:styleId="identifier">
    <w:name w:val="identifier"/>
    <w:basedOn w:val="DefaultParagraphFont"/>
    <w:rsid w:val="009121CD"/>
  </w:style>
  <w:style w:type="character" w:customStyle="1" w:styleId="id-label">
    <w:name w:val="id-label"/>
    <w:basedOn w:val="DefaultParagraphFont"/>
    <w:rsid w:val="009121CD"/>
  </w:style>
  <w:style w:type="character" w:styleId="Strong">
    <w:name w:val="Strong"/>
    <w:basedOn w:val="DefaultParagraphFont"/>
    <w:uiPriority w:val="22"/>
    <w:qFormat/>
    <w:rsid w:val="009121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21981">
      <w:bodyDiv w:val="1"/>
      <w:marLeft w:val="0"/>
      <w:marRight w:val="0"/>
      <w:marTop w:val="0"/>
      <w:marBottom w:val="0"/>
      <w:divBdr>
        <w:top w:val="none" w:sz="0" w:space="0" w:color="auto"/>
        <w:left w:val="none" w:sz="0" w:space="0" w:color="auto"/>
        <w:bottom w:val="none" w:sz="0" w:space="0" w:color="auto"/>
        <w:right w:val="none" w:sz="0" w:space="0" w:color="auto"/>
      </w:divBdr>
    </w:div>
    <w:div w:id="113059330">
      <w:bodyDiv w:val="1"/>
      <w:marLeft w:val="0"/>
      <w:marRight w:val="0"/>
      <w:marTop w:val="0"/>
      <w:marBottom w:val="0"/>
      <w:divBdr>
        <w:top w:val="none" w:sz="0" w:space="0" w:color="auto"/>
        <w:left w:val="none" w:sz="0" w:space="0" w:color="auto"/>
        <w:bottom w:val="none" w:sz="0" w:space="0" w:color="auto"/>
        <w:right w:val="none" w:sz="0" w:space="0" w:color="auto"/>
      </w:divBdr>
      <w:divsChild>
        <w:div w:id="1764837304">
          <w:marLeft w:val="0"/>
          <w:marRight w:val="0"/>
          <w:marTop w:val="0"/>
          <w:marBottom w:val="0"/>
          <w:divBdr>
            <w:top w:val="none" w:sz="0" w:space="0" w:color="auto"/>
            <w:left w:val="none" w:sz="0" w:space="0" w:color="auto"/>
            <w:bottom w:val="none" w:sz="0" w:space="0" w:color="auto"/>
            <w:right w:val="none" w:sz="0" w:space="0" w:color="auto"/>
          </w:divBdr>
          <w:divsChild>
            <w:div w:id="1847789795">
              <w:marLeft w:val="0"/>
              <w:marRight w:val="0"/>
              <w:marTop w:val="0"/>
              <w:marBottom w:val="0"/>
              <w:divBdr>
                <w:top w:val="none" w:sz="0" w:space="0" w:color="auto"/>
                <w:left w:val="none" w:sz="0" w:space="0" w:color="auto"/>
                <w:bottom w:val="none" w:sz="0" w:space="0" w:color="auto"/>
                <w:right w:val="none" w:sz="0" w:space="0" w:color="auto"/>
              </w:divBdr>
              <w:divsChild>
                <w:div w:id="116493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817475">
      <w:bodyDiv w:val="1"/>
      <w:marLeft w:val="0"/>
      <w:marRight w:val="0"/>
      <w:marTop w:val="0"/>
      <w:marBottom w:val="0"/>
      <w:divBdr>
        <w:top w:val="none" w:sz="0" w:space="0" w:color="auto"/>
        <w:left w:val="none" w:sz="0" w:space="0" w:color="auto"/>
        <w:bottom w:val="none" w:sz="0" w:space="0" w:color="auto"/>
        <w:right w:val="none" w:sz="0" w:space="0" w:color="auto"/>
      </w:divBdr>
      <w:divsChild>
        <w:div w:id="468212690">
          <w:marLeft w:val="0"/>
          <w:marRight w:val="0"/>
          <w:marTop w:val="0"/>
          <w:marBottom w:val="0"/>
          <w:divBdr>
            <w:top w:val="none" w:sz="0" w:space="0" w:color="auto"/>
            <w:left w:val="none" w:sz="0" w:space="0" w:color="auto"/>
            <w:bottom w:val="none" w:sz="0" w:space="0" w:color="auto"/>
            <w:right w:val="none" w:sz="0" w:space="0" w:color="auto"/>
          </w:divBdr>
          <w:divsChild>
            <w:div w:id="1532650053">
              <w:marLeft w:val="0"/>
              <w:marRight w:val="0"/>
              <w:marTop w:val="0"/>
              <w:marBottom w:val="0"/>
              <w:divBdr>
                <w:top w:val="none" w:sz="0" w:space="0" w:color="auto"/>
                <w:left w:val="none" w:sz="0" w:space="0" w:color="auto"/>
                <w:bottom w:val="none" w:sz="0" w:space="0" w:color="auto"/>
                <w:right w:val="none" w:sz="0" w:space="0" w:color="auto"/>
              </w:divBdr>
              <w:divsChild>
                <w:div w:id="10533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55928">
      <w:bodyDiv w:val="1"/>
      <w:marLeft w:val="0"/>
      <w:marRight w:val="0"/>
      <w:marTop w:val="0"/>
      <w:marBottom w:val="0"/>
      <w:divBdr>
        <w:top w:val="none" w:sz="0" w:space="0" w:color="auto"/>
        <w:left w:val="none" w:sz="0" w:space="0" w:color="auto"/>
        <w:bottom w:val="none" w:sz="0" w:space="0" w:color="auto"/>
        <w:right w:val="none" w:sz="0" w:space="0" w:color="auto"/>
      </w:divBdr>
    </w:div>
    <w:div w:id="792677824">
      <w:bodyDiv w:val="1"/>
      <w:marLeft w:val="0"/>
      <w:marRight w:val="0"/>
      <w:marTop w:val="0"/>
      <w:marBottom w:val="0"/>
      <w:divBdr>
        <w:top w:val="none" w:sz="0" w:space="0" w:color="auto"/>
        <w:left w:val="none" w:sz="0" w:space="0" w:color="auto"/>
        <w:bottom w:val="none" w:sz="0" w:space="0" w:color="auto"/>
        <w:right w:val="none" w:sz="0" w:space="0" w:color="auto"/>
      </w:divBdr>
    </w:div>
    <w:div w:id="803162216">
      <w:bodyDiv w:val="1"/>
      <w:marLeft w:val="0"/>
      <w:marRight w:val="0"/>
      <w:marTop w:val="0"/>
      <w:marBottom w:val="0"/>
      <w:divBdr>
        <w:top w:val="none" w:sz="0" w:space="0" w:color="auto"/>
        <w:left w:val="none" w:sz="0" w:space="0" w:color="auto"/>
        <w:bottom w:val="none" w:sz="0" w:space="0" w:color="auto"/>
        <w:right w:val="none" w:sz="0" w:space="0" w:color="auto"/>
      </w:divBdr>
    </w:div>
    <w:div w:id="1368488327">
      <w:bodyDiv w:val="1"/>
      <w:marLeft w:val="0"/>
      <w:marRight w:val="0"/>
      <w:marTop w:val="0"/>
      <w:marBottom w:val="0"/>
      <w:divBdr>
        <w:top w:val="none" w:sz="0" w:space="0" w:color="auto"/>
        <w:left w:val="none" w:sz="0" w:space="0" w:color="auto"/>
        <w:bottom w:val="none" w:sz="0" w:space="0" w:color="auto"/>
        <w:right w:val="none" w:sz="0" w:space="0" w:color="auto"/>
      </w:divBdr>
      <w:divsChild>
        <w:div w:id="1409184454">
          <w:marLeft w:val="0"/>
          <w:marRight w:val="0"/>
          <w:marTop w:val="0"/>
          <w:marBottom w:val="0"/>
          <w:divBdr>
            <w:top w:val="none" w:sz="0" w:space="0" w:color="auto"/>
            <w:left w:val="none" w:sz="0" w:space="0" w:color="auto"/>
            <w:bottom w:val="none" w:sz="0" w:space="0" w:color="auto"/>
            <w:right w:val="none" w:sz="0" w:space="0" w:color="auto"/>
          </w:divBdr>
        </w:div>
      </w:divsChild>
    </w:div>
    <w:div w:id="1455292534">
      <w:bodyDiv w:val="1"/>
      <w:marLeft w:val="0"/>
      <w:marRight w:val="0"/>
      <w:marTop w:val="0"/>
      <w:marBottom w:val="0"/>
      <w:divBdr>
        <w:top w:val="none" w:sz="0" w:space="0" w:color="auto"/>
        <w:left w:val="none" w:sz="0" w:space="0" w:color="auto"/>
        <w:bottom w:val="none" w:sz="0" w:space="0" w:color="auto"/>
        <w:right w:val="none" w:sz="0" w:space="0" w:color="auto"/>
      </w:divBdr>
      <w:divsChild>
        <w:div w:id="305626990">
          <w:marLeft w:val="0"/>
          <w:marRight w:val="0"/>
          <w:marTop w:val="0"/>
          <w:marBottom w:val="0"/>
          <w:divBdr>
            <w:top w:val="none" w:sz="0" w:space="0" w:color="auto"/>
            <w:left w:val="none" w:sz="0" w:space="0" w:color="auto"/>
            <w:bottom w:val="none" w:sz="0" w:space="0" w:color="auto"/>
            <w:right w:val="none" w:sz="0" w:space="0" w:color="auto"/>
          </w:divBdr>
          <w:divsChild>
            <w:div w:id="1672489023">
              <w:marLeft w:val="0"/>
              <w:marRight w:val="0"/>
              <w:marTop w:val="0"/>
              <w:marBottom w:val="0"/>
              <w:divBdr>
                <w:top w:val="none" w:sz="0" w:space="0" w:color="auto"/>
                <w:left w:val="none" w:sz="0" w:space="0" w:color="auto"/>
                <w:bottom w:val="none" w:sz="0" w:space="0" w:color="auto"/>
                <w:right w:val="none" w:sz="0" w:space="0" w:color="auto"/>
              </w:divBdr>
              <w:divsChild>
                <w:div w:id="16859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6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cbi.nlm.nih.gov/pmc/articles/pmc111309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Mirel-Cosmin Turaiche</dc:creator>
  <cp:keywords/>
  <dc:description/>
  <cp:lastModifiedBy>Mirel-Cosmin Turaiche</cp:lastModifiedBy>
  <cp:revision>11</cp:revision>
  <dcterms:created xsi:type="dcterms:W3CDTF">2024-05-16T17:28:00Z</dcterms:created>
  <dcterms:modified xsi:type="dcterms:W3CDTF">2024-06-08T17:06:00Z</dcterms:modified>
</cp:coreProperties>
</file>